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SächsRegStudZVO (Sachsen)</w:t>
      </w:r>
    </w:p>
    <w:p>
      <w:r>
        <w:rPr>
          <w:color w:val="555555"/>
          <w:sz w:val="18"/>
        </w:rPr>
        <w:t xml:space="preserve">Sächsische Regelstudienzeitverordnung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114a Absatz 3 Satz 1 des Sächsischen Hochschulfreiheitsgesetzes in der Fassung der Bekanntmachung vom 15. Januar 2013 (SächsGVBl. S. 3), der durch Artikel 5 des Gesetzes vom 17. Dezember 2020 (SächsGVBl. S. 731) eingefügt wurde, verordnet das Staatsministerium für Wissenschaft, Kultur und Tourismus nach Kenntnisnahme durch den für Wissenschaft zuständigen Ausschuss des Landtages:</w:t>
      </w:r>
    </w:p>
    <w:p>
      <w:r>
        <w:rPr>
          <w:color w:val="555555"/>
          <w:sz w:val="17"/>
        </w:rPr>
        <w:t xml:space="preserve">Zitiervorschlag: Eingangsformel SächsRegStudZVO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https://recht.nulegal.eu/gesetze/S%C3%A4chsRegStudZVO/eingangsformel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