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SächsRegStudZVO (Sachsen)</w:t>
      </w:r>
    </w:p>
    <w:p>
      <w:r>
        <w:rPr>
          <w:color w:val="555555"/>
          <w:sz w:val="18"/>
        </w:rPr>
        <w:t xml:space="preserve">Sächsische Regelstudienzeitverordnung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mit Wirkung vom 1. April 2021 in Kraft.</w:t>
      </w:r>
    </w:p>
    <w:p>
      <w:r>
        <w:t xml:space="preserve">Dresden, den 29. April 2021</w:t>
      </w:r>
    </w:p>
    <w:p>
      <w:r>
        <w:t xml:space="preserve">Der Staatsminister für Wissenschaft, Kultur und Tourismus</w:t>
      </w:r>
    </w:p>
    <w:p>
      <w:r>
        <w:t xml:space="preserve">Sebastian Gemkow</w:t>
      </w:r>
    </w:p>
    <w:p>
      <w:r>
        <w:rPr>
          <w:color w:val="555555"/>
          <w:sz w:val="17"/>
        </w:rPr>
        <w:t xml:space="preserve">Zitiervorschlag: § 2 SächsRegStudZVO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https://recht.nulegal.eu/gesetze/S%C3%A4chsRegStudZVO/2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