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SächsRKG (Sachsen) — Fahrt- und Flugkostenerstattung</w:t>
      </w:r>
    </w:p>
    <w:p>
      <w:r>
        <w:rPr>
          <w:color w:val="555555"/>
          <w:sz w:val="18"/>
        </w:rPr>
        <w:t xml:space="preserve">Sächsisches Reisekostengesetz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Strecken, die mit regelmäßig verkehrenden Beförderungsmitteln zurückgelegt worden sind, werden die entstandenen notwendigen Fahrt- und Flugkosten der niedrigsten Klasse erstattet. Kosten der nächsthöheren Klasse werden erstattet, wenn dienstliche Gründe ihre Benutzung im Einzelfall erfordern. Fahrpreisermäßigungen sind zu berücksichtigen. Fahrt- und Flugkosten werden nicht erstattet, wenn ein regelmäßig verkehrendes Beförderungsmittel oder ein anderes unentgeltlich benutzt werden kann.</w:t>
      </w:r>
    </w:p>
    <w:p>
      <w:r>
        <w:rPr>
          <w:color w:val="555555"/>
          <w:sz w:val="17"/>
        </w:rPr>
        <w:t xml:space="preserve">Zitiervorschlag: § 4 SächsRKG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https://recht.nulegal.eu/gesetze/S%C3%A4chsRKG/4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SächsRKG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