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SächsRBG (Sachsen)</w:t>
      </w:r>
    </w:p>
    <w:p>
      <w:r>
        <w:rPr>
          <w:color w:val="555555"/>
          <w:sz w:val="18"/>
        </w:rPr>
        <w:t xml:space="preserve">Sächsisches Rechtsbereinigungsgesetz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April 1998</w:t>
      </w:r>
    </w:p>
    <w:p>
      <w:r>
        <w:rPr>
          <w:color w:val="555555"/>
          <w:sz w:val="17"/>
        </w:rPr>
        <w:t xml:space="preserve">Zitiervorschlag: Eingangsformel SächsRBG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https://recht.nulegal.eu/gesetze/S%C3%A4chsRBG/eingangsformel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