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SächsRBG (Sachsen) — Verweisungen auf nichtfortgeltendes Recht</w:t>
      </w:r>
    </w:p>
    <w:p>
      <w:r>
        <w:rPr>
          <w:color w:val="555555"/>
          <w:sz w:val="18"/>
        </w:rPr>
        <w:t xml:space="preserve">Sächsisches Rechtsbereinigungsgesetz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Wird in Vorschriften der Deutschen Demokratischen Republik, die als Landesrecht fortgelten, auf nichtfortgeltende Vorschriften verwiesen, treten an deren Stelle die entsprechenden Vorschriften des Bundes- oder Landesrechts, soweit nichts anderes bestimmt ist.</w:t>
      </w:r>
    </w:p>
    <w:p>
      <w:r>
        <w:rPr>
          <w:color w:val="555555"/>
          <w:sz w:val="17"/>
        </w:rPr>
        <w:t xml:space="preserve">Zitiervorschlag: § 5 SächsRBG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https://recht.nulegal.eu/gesetze/S%C3%A4chsRBG/5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