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SächsRBG (Sachsen) — Bestehende Rechtsverhältnisse</w:t>
      </w:r>
    </w:p>
    <w:p>
      <w:r>
        <w:rPr>
          <w:color w:val="555555"/>
          <w:sz w:val="18"/>
        </w:rPr>
        <w:t xml:space="preserve">Sächsisches Rechtsbereinigungsgesetz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Rechtsverhältnisse, die auf der Grundlage des nach §§ 1 und 2 aufgehobenen Rechts entstanden sind, bleiben unberührt. Das bisherige Recht bleibt insoweit weiterhin anzuwenden. Die bisherigen Verfahrensvorschriften gelten nur für vor dem Inkrafttreten dieses Gesetzes anhängig gewordene Verfahren.</w:t>
      </w:r>
    </w:p>
    <w:p>
      <w:r>
        <w:rPr>
          <w:color w:val="555555"/>
          <w:sz w:val="17"/>
        </w:rPr>
        <w:t xml:space="preserve">Zitiervorschlag: § 4 SächsRBG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https://recht.nulegal.eu/gesetze/S%C3%A4chsRBG/4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