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SächsRBG (Sachsen) — Ausnahmen</w:t>
      </w:r>
    </w:p>
    <w:p>
      <w:r>
        <w:rPr>
          <w:color w:val="555555"/>
          <w:sz w:val="18"/>
        </w:rPr>
        <w:t xml:space="preserve">Sächsisches Rechtsbereinigungsgesetz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Von der Aufhebung nach §§ 1 und 2 sind Staatsverträge und Abkommen einschließlich der zu ihrer Inkraftsetzung ergangenen Vorschriften ausgenommen.</w:t>
      </w:r>
    </w:p>
    <w:p>
      <w:r>
        <w:rPr>
          <w:color w:val="555555"/>
          <w:sz w:val="17"/>
        </w:rPr>
        <w:t xml:space="preserve">Zitiervorschlag: § 3 SächsRBG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https://recht.nulegal.eu/gesetze/S%C3%A4chsRBG/3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