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SächsRBG (Sachsen) — Altes Landesrecht</w:t>
      </w:r>
    </w:p>
    <w:p>
      <w:r>
        <w:rPr>
          <w:color w:val="555555"/>
          <w:sz w:val="18"/>
        </w:rPr>
        <w:t xml:space="preserve">Sächsisches Rechtsbereinigungsgesetz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Ablauf des 30. April 1998 tritt das</w:t>
      </w:r>
    </w:p>
    <w:p>
      <w:r>
        <w:t xml:space="preserve">1. vom Königreich Sachsen und dessen Rechtsvorgängern und</w:t>
      </w:r>
    </w:p>
    <w:p>
      <w:r>
        <w:t xml:space="preserve">2. vom Freistaat Sachsen und dem Land Sachsen</w:t>
      </w:r>
    </w:p>
    <w:p>
      <w:r>
        <w:t xml:space="preserve">vor dem 1. Januar 1953</w:t>
      </w:r>
    </w:p>
    <w:p>
      <w:r>
        <w:t xml:space="preserve">gesetzte und als sächsisches Landesrecht fortgeltende Recht außer Kraft.</w:t>
      </w:r>
    </w:p>
    <w:p>
      <w:r>
        <w:t xml:space="preserve">(2) Zum selben Zeitpunkt tritt das als sächsisches Landesrecht fortgeltende Recht außer Kraft, das von anderen als den in Absatz 1 und § 2 genannten staatlichen Hoheitsträgern vor dem 1. Januar 1953 mit Wirkung für Gebiete gesetzt wurde, die gemäß § 1 Abs. 1 des Verfassungsgesetzes zur Bildung von Ländern in der Deutschen Demokratischen Republik – Ländereinführungsgesetz – vom 22. Juli 1990 (GBl. I Nr. 51 S. 955) oder nach dem 3. Oktober 1990 durch Staatsvertrag sächsisches Staatsgebiet geworden sind.</w:t>
      </w:r>
    </w:p>
    <w:p>
      <w:r>
        <w:rPr>
          <w:color w:val="555555"/>
          <w:sz w:val="17"/>
        </w:rPr>
        <w:t xml:space="preserve">Zitiervorschlag: § 1 SächsRBG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https://recht.nulegal.eu/gesetze/S%C3%A4chsRBG/1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SächsRBG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