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SächsRAVG (Sachsen)</w:t>
      </w:r>
    </w:p>
    <w:p>
      <w:r>
        <w:rPr>
          <w:color w:val="555555"/>
          <w:sz w:val="18"/>
        </w:rPr>
        <w:t xml:space="preserve">Sächsisches Rechtsanwaltsversorgungsgesetz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26. Mai 1994 das folgende Gesetz beschlossen:</w:t>
      </w:r>
    </w:p>
    <w:p>
      <w:r>
        <w:rPr>
          <w:color w:val="555555"/>
          <w:sz w:val="17"/>
        </w:rPr>
        <w:t xml:space="preserve">Zitiervorschlag: Eingangsformel SächsRAVG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https://recht.nulegal.eu/gesetze/S%C3%A4chsRAVG/eingangsformel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