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SächsRAVG (Sachsen) — Beginn, Beendigung und Weiterführung der Mitgliedschaft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Pflichtmitgliedschaft beginnt mit dem Tag, an dem die Voraussetzungen für die Pflichtmitgliedschaft eingetreten sind. Die Pflichtmitgliedschaft auf Antrag beginnt mit dem Tag des Eingangs des Antrages beim Versorgungswerk.</w:t>
      </w:r>
    </w:p>
    <w:p>
      <w:r>
        <w:t xml:space="preserve">(2) Aus dem Versorgungswerk scheiden Mitglieder aus, wenn sie der Rechtsanwaltskammer Sachsen nicht mehr angehören.</w:t>
      </w:r>
    </w:p>
    <w:p>
      <w:r>
        <w:t xml:space="preserve">(3) Die Mitgliedschaft endet nicht mit dem Eintritt des Versorgungsfalles.</w:t>
      </w:r>
    </w:p>
    <w:p>
      <w:r>
        <w:t xml:space="preserve">(4) In der Satzung können weitere Fälle des Beginns, der Beendigung und der Weiterführung der Mitgliedschaft bestimmt werden.</w:t>
      </w:r>
    </w:p>
    <w:p>
      <w:r>
        <w:rPr>
          <w:color w:val="555555"/>
          <w:sz w:val="17"/>
        </w:rPr>
        <w:t xml:space="preserve">Zitiervorschlag: § 8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