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SächsRAVG (Sachsen) — Pflichtmitgliedschaft auf Antrag</w:t>
      </w:r>
    </w:p>
    <w:p>
      <w:r>
        <w:rPr>
          <w:color w:val="555555"/>
          <w:sz w:val="18"/>
        </w:rPr>
        <w:t xml:space="preserve">Sächsisches Rechtsanwaltsversorgungsgesetz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Patentanwältinnen und Patentanwälte mit Kanzleisitz im Freistaat Sachsen werden auf Antrag Mitglied des Versorgungswerks, wenn sie den Antrag innerhalb von zwei Jahren nach der Zulassung zur Patentanwaltschaft stellen. § 6 Absatz 2 Satz 2 gilt entsprechend.</w:t>
      </w:r>
    </w:p>
    <w:p>
      <w:r>
        <w:t xml:space="preserve">(2) Pflichtmitglied auf Antrag kann nicht werden, wer bei der Antragstellung berufsunfähig ist.</w:t>
      </w:r>
    </w:p>
    <w:p>
      <w:r>
        <w:rPr>
          <w:color w:val="555555"/>
          <w:sz w:val="17"/>
        </w:rPr>
        <w:t xml:space="preserve">Zitiervorschlag: § 7 SächsRAVG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https://recht.nulegal.eu/gesetze/S%C3%A4chsRAVG/7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SächsRAVG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