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SächsRAVG (Sachsen) — Organe</w:t>
      </w:r>
    </w:p>
    <w:p>
      <w:r>
        <w:rPr>
          <w:color w:val="555555"/>
          <w:sz w:val="18"/>
        </w:rPr>
        <w:t xml:space="preserve">Sächsisches Rechtsanwaltsversorgungsgesetz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Organe des Versorgungswerks sind die Vertreterversammlung und der Vorstand.</w:t>
      </w:r>
    </w:p>
    <w:p>
      <w:r>
        <w:t xml:space="preserve">(2) Die Mitglieder der Organe des Versorgungswerks sind ehrenamtlich tätig. Gleiches gilt für die Mitglieder eines Ausschusses der Vertreterversammlung. Sie haben Anspruch auf Entschädigung für die Auslagen und die versäumte Arbeitszeit.</w:t>
      </w:r>
    </w:p>
    <w:p>
      <w:r>
        <w:rPr>
          <w:color w:val="555555"/>
          <w:sz w:val="17"/>
        </w:rPr>
        <w:t xml:space="preserve">Zitiervorschlag: § 2 SächsRAVG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https://recht.nulegal.eu/gesetze/S%C3%A4chsRAVG/2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