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SächsRAVG (Sachsen) — Satzung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regelt seine Angelegenheiten nach Maßgabe dieses Gesetzes durch Satzung.</w:t>
      </w:r>
    </w:p>
    <w:p>
      <w:r>
        <w:t xml:space="preserve">(2) Die Satzung trifft insbesondere Bestimmungen über</w:t>
      </w:r>
    </w:p>
    <w:p>
      <w:r>
        <w:t xml:space="preserve">1. den Sitz des Versorgungswerks,</w:t>
      </w:r>
    </w:p>
    <w:p>
      <w:r>
        <w:t xml:space="preserve">2. die Wahl, die Beschlußfassung und die Aufgaben der Vertreterversammlung und des Vorstands,</w:t>
      </w:r>
    </w:p>
    <w:p>
      <w:r>
        <w:t xml:space="preserve">3. die Voraussetzungen und den Umfang der Befreiung von der Pflichtmitgliedschaft und von der Beitragszahlung,</w:t>
      </w:r>
    </w:p>
    <w:p>
      <w:r>
        <w:t xml:space="preserve">4. die Höhe der Beiträge und die Zahlung freiwilliger zusätzlicher Beiträge,</w:t>
      </w:r>
    </w:p>
    <w:p>
      <w:r>
        <w:t xml:space="preserve">5. die Fälligkeit, Zahlung und Stundung von Beiträgen,</w:t>
      </w:r>
    </w:p>
    <w:p>
      <w:r>
        <w:t xml:space="preserve">6. die Verwendung von Nachversicherungsbeiträgen nach § 186 des Sechsten Buches Sozialgesetzbuch ,</w:t>
      </w:r>
    </w:p>
    <w:p>
      <w:r>
        <w:t xml:space="preserve">7. die Erstattung und Übertragung der Beiträge bei vorzeitiger Beendigung der Mitgliedschaft,</w:t>
      </w:r>
    </w:p>
    <w:p>
      <w:r>
        <w:t xml:space="preserve">8. das Geschäftsjahr,</w:t>
      </w:r>
    </w:p>
    <w:p>
      <w:r>
        <w:t xml:space="preserve">9. die Leistungen nach § 10,</w:t>
      </w:r>
    </w:p>
    <w:p>
      <w:r>
        <w:t xml:space="preserve">10. die Verwendung und Anlage der Mittel nach § 14.</w:t>
      </w:r>
    </w:p>
    <w:p>
      <w:r>
        <w:t xml:space="preserve">(3) Die Satzung und jede Änderung sind mit dem Genehmigungsvermerk im Sächsischen Amtsblatt bekanntzumachen. Sie treten am Tage nach der Veröffentlichung in Kraft, wenn nicht ein anderer Zeitpunkt bestimmt ist.</w:t>
      </w:r>
    </w:p>
    <w:p>
      <w:r>
        <w:t xml:space="preserve">(4) Satzungsänderungen gelten auch für bestehende Mitgliedschafts- und Versorgungsverhältnisse, soweit nichts anderes bestimmt wird.</w:t>
      </w:r>
    </w:p>
    <w:p>
      <w:r>
        <w:rPr>
          <w:color w:val="555555"/>
          <w:sz w:val="17"/>
        </w:rPr>
        <w:t xml:space="preserve">Zitiervorschlag: § 19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