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SächsRAVG (Sachsen) — Vorverfahren</w:t>
      </w:r>
    </w:p>
    <w:p>
      <w:r>
        <w:rPr>
          <w:color w:val="555555"/>
          <w:sz w:val="18"/>
        </w:rPr>
        <w:t xml:space="preserve">Sächsisches Rechtsanwaltsversorgungsgesetz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Den Widerspruchsbescheid im Vorverfahren nach §§ 68 bis 73 der Verwaltungsgerichtsordnung in der Fassung der Bekanntmachung vom 19. März 1991 (BGBl. I S. 686), die zuletzt durch Artikel 19 des Gesetzes vom 8. Oktober 2023 (BGBl. I Nr. 272) geändert worden ist, in der jeweils geltenden Fassung erläßt der Vorstand.</w:t>
      </w:r>
    </w:p>
    <w:p>
      <w:r>
        <w:rPr>
          <w:color w:val="555555"/>
          <w:sz w:val="17"/>
        </w:rPr>
        <w:t xml:space="preserve">Zitiervorschlag: § 16 SächsRAVG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https://recht.nulegal.eu/gesetze/S%C3%A4chsRAVG/16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