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SächsRAVG (Sachsen) — Verwendung der Mittel</w:t>
      </w:r>
    </w:p>
    <w:p>
      <w:r>
        <w:rPr>
          <w:color w:val="555555"/>
          <w:sz w:val="18"/>
        </w:rPr>
        <w:t xml:space="preserve">Sächsisches Rechtsanwaltsversorgungsgesetz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Mittel des Versorgungswerks dürfen nur zur Bestreitung der satzungsmäßigen Leistungen und der notwendigen Verwaltungskosten sowie zur Bildung der erforderlichen Rückstellungen und Rücklagen verwendet werden.</w:t>
      </w:r>
    </w:p>
    <w:p>
      <w:r>
        <w:rPr>
          <w:color w:val="555555"/>
          <w:sz w:val="17"/>
        </w:rPr>
        <w:t xml:space="preserve">Zitiervorschlag: § 14 SächsRAVG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https://recht.nulegal.eu/gesetze/S%C3%A4chsRAVG/14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