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SächsRAVG (Sachsen) — Gesetzlicher Forderungsübergang</w:t>
      </w:r>
    </w:p>
    <w:p>
      <w:r>
        <w:rPr>
          <w:color w:val="555555"/>
          <w:sz w:val="18"/>
        </w:rPr>
        <w:t xml:space="preserve">Sächsisches Rechtsanwaltsversorgungsgesetz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Für Ansprüche auf Schadensersatz gegen Dritte gilt § 86 des Versicherungsvertragsgesetzes vom 23. November 2007 (BGBl. I S. 2631), das zuletzt durch Artikel 17 des Gesetzes vom 22. Februar 2023 (BGBl. I Nr. 51) geändert worden ist, in der jeweils geltenden Fassung entsprechend.</w:t>
      </w:r>
    </w:p>
    <w:p>
      <w:r>
        <w:rPr>
          <w:color w:val="555555"/>
          <w:sz w:val="17"/>
        </w:rPr>
        <w:t xml:space="preserve">Zitiervorschlag: § 13 SächsRAVG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https://recht.nulegal.eu/gesetze/S%C3%A4chsRAVG/13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