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SächsRAVG (Sachsen) — Leistungen</w:t>
      </w:r>
    </w:p>
    <w:p>
      <w:r>
        <w:rPr>
          <w:color w:val="555555"/>
          <w:sz w:val="18"/>
        </w:rPr>
        <w:t xml:space="preserve">Sächsisches Rechtsanwaltsversorgungsgesetz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Versorgungswerk gewährt seinen Mitgliedern und deren Hinterbliebenen nach Maßgabe dieses Gesetzes und der Satzung folgende Leistungen:</w:t>
      </w:r>
    </w:p>
    <w:p>
      <w:r>
        <w:t xml:space="preserve">1. Altersrente,</w:t>
      </w:r>
    </w:p>
    <w:p>
      <w:r>
        <w:t xml:space="preserve">2. Berufsunfähigkeitsrente,</w:t>
      </w:r>
    </w:p>
    <w:p>
      <w:r>
        <w:t xml:space="preserve">3. Hinterbliebenenrente,</w:t>
      </w:r>
    </w:p>
    <w:p>
      <w:r>
        <w:t xml:space="preserve">4. Sterbegeld,</w:t>
      </w:r>
    </w:p>
    <w:p>
      <w:r>
        <w:t xml:space="preserve">5. Kapitalabfindung.</w:t>
      </w:r>
    </w:p>
    <w:p>
      <w:r>
        <w:t xml:space="preserve">Auf diese Leistungen besteht ein Rechtsanspruch.</w:t>
      </w:r>
    </w:p>
    <w:p>
      <w:r>
        <w:t xml:space="preserve">(2) Die Satzung kann Zuschüsse für Maßnahmen zur Wiederherstellung der Berufsfähigkeit vorsehen.</w:t>
      </w:r>
    </w:p>
    <w:p>
      <w:r>
        <w:t xml:space="preserve">(3) Änderungen der Satzung, die den Leistungsumfang betreffen, gelten auch für die vor der Änderung der Satzung eingetretenen Leistungsfälle.</w:t>
      </w:r>
    </w:p>
    <w:p>
      <w:r>
        <w:rPr>
          <w:color w:val="555555"/>
          <w:sz w:val="17"/>
        </w:rPr>
        <w:t xml:space="preserve">Zitiervorschlag: § 10 SächsRAVG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https://recht.nulegal.eu/gesetze/S%C3%A4chsRAVG/10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