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SächsRAVG (Sachsen) — Aufgabe, Rechtsstellung und Sitz</w:t>
      </w:r>
    </w:p>
    <w:p>
      <w:r>
        <w:rPr>
          <w:color w:val="555555"/>
          <w:sz w:val="18"/>
        </w:rPr>
        <w:t xml:space="preserve">Sächsisches Rechtsanwaltsversorgungsgesetz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Versorgungswerk der Rechtsanwältinnen und Rechtsanwälte im Freistaat Sachsen (Versorgungswerk) hat die Aufgabe, seinen Mitgliedern und deren Hinterbliebenen Versorgung nach Maßgabe dieses Gesetzes und der Satzung zu gewähren.</w:t>
      </w:r>
    </w:p>
    <w:p>
      <w:r>
        <w:t xml:space="preserve">(2) Das Versorgungswerk ist eine rechtsfähige Körperschaft des öffentlichen Rechts. Der Sitz wird durch die Satzung bestimmt.</w:t>
      </w:r>
    </w:p>
    <w:p>
      <w:r>
        <w:rPr>
          <w:color w:val="555555"/>
          <w:sz w:val="17"/>
        </w:rPr>
        <w:t xml:space="preserve">Zitiervorschlag: § 1 SächsRAVG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https://recht.nulegal.eu/gesetze/S%C3%A4chsRAVG/1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