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SächsQualiVO (Sachsen) — Fachliche Fortbildung</w:t>
      </w:r>
    </w:p>
    <w:p>
      <w:r>
        <w:rPr>
          <w:color w:val="555555"/>
          <w:sz w:val="18"/>
        </w:rPr>
        <w:t xml:space="preserve">Sächsische Qualifikations- und Fortbildungsverordnung pädagogischer Fachkräfte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Fachliche Fortbildung soll jährlich mindestens in folgendem Umfang ermöglicht und wahrgenommen werden:</w:t>
      </w:r>
    </w:p>
    <w:p>
      <w:r>
        <w:t xml:space="preserve">1. pädagogische Fachkräfte: 40 Stunden,</w:t>
      </w:r>
    </w:p>
    <w:p>
      <w:r>
        <w:t xml:space="preserve">2. Kindertagespflegepersonen: 20 Stunden und</w:t>
      </w:r>
    </w:p>
    <w:p>
      <w:r>
        <w:t xml:space="preserve">3. Fachberater: 40 Stunden.</w:t>
      </w:r>
    </w:p>
    <w:p>
      <w:r>
        <w:rPr>
          <w:color w:val="555555"/>
          <w:sz w:val="17"/>
        </w:rPr>
        <w:t xml:space="preserve">Zitiervorschlag: § 6 SächsQualiVO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https://recht.nulegal.eu/gesetze/S%C3%A4chsQualiVO/6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