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SächsPsychKHG (Sachsen)</w:t>
      </w:r>
    </w:p>
    <w:p>
      <w:r>
        <w:rPr>
          <w:color w:val="555555"/>
          <w:sz w:val="18"/>
        </w:rPr>
        <w:t xml:space="preserve">Sächsisches Psychisch-Kranken-Hilfe-Gesetz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22. Juli 2024</w:t>
      </w:r>
    </w:p>
    <w:p>
      <w:r>
        <w:rPr>
          <w:color w:val="555555"/>
          <w:sz w:val="17"/>
        </w:rPr>
        <w:t xml:space="preserve">Zitiervorschlag: Eingangsformel SächsPsychKHG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https://recht.nulegal.eu/gesetze/S%C3%A4chsPsychKHG/eingangsformel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