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SächsPolOrgVO (Sachsen) — Inkrafttreten, Außerkrafttreten</w:t>
      </w:r>
    </w:p>
    <w:p>
      <w:r>
        <w:rPr>
          <w:color w:val="555555"/>
          <w:sz w:val="18"/>
        </w:rPr>
        <w:t xml:space="preserve">Sächsische Polizeiorganisationsverordnung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 nach der Verkündung in Kraft. Gleichzeitig tritt die Sächsische Polizeiorganisationsverordnung vom 16. Dezember 2004 (SächsGVBl. S. 586), die zuletzt durch Verordnung vom 13. August 2013 (SächsGVBl. S. 730) geändert worden ist, außer Kraft.</w:t>
      </w:r>
    </w:p>
    <w:p>
      <w:r>
        <w:t xml:space="preserve">Dresden, den 17. März 2020</w:t>
      </w:r>
    </w:p>
    <w:p>
      <w:r>
        <w:t xml:space="preserve">Der Staatsminister des Innern</w:t>
      </w:r>
    </w:p>
    <w:p>
      <w:r>
        <w:t xml:space="preserve">Prof. Dr. Roland Wöller</w:t>
      </w:r>
    </w:p>
    <w:p>
      <w:r>
        <w:rPr>
          <w:color w:val="555555"/>
          <w:sz w:val="17"/>
        </w:rPr>
        <w:t xml:space="preserve">Zitiervorschlag: § 8 SächsPolOrgVO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https://recht.nulegal.eu/gesetze/S%C3%A4chsPolOrgVO/8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