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SächsPolFHG (Sachsen) — Fortbildung</w:t>
      </w:r>
    </w:p>
    <w:p>
      <w:r>
        <w:rPr>
          <w:color w:val="555555"/>
          <w:sz w:val="18"/>
        </w:rPr>
        <w:t xml:space="preserve">Sächsisches Polizeifachhochschulgesetz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inhaltliche und organisatorische Ausgestaltung der Fortbildung ist eine Weisungsaufgabe.</w:t>
      </w:r>
    </w:p>
    <w:p>
      <w:r>
        <w:rPr>
          <w:color w:val="555555"/>
          <w:sz w:val="17"/>
        </w:rPr>
        <w:t xml:space="preserve">Zitiervorschlag: § 21 SächsPolFHG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https://recht.nulegal.eu/gesetze/S%C3%A4chsPolFHG/21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