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SächsPlanzVO (Sachsen)</w:t>
      </w:r>
    </w:p>
    <w:p>
      <w:r>
        <w:rPr>
          <w:color w:val="555555"/>
          <w:sz w:val="18"/>
        </w:rPr>
        <w:t xml:space="preserve">Sächsische Planzeichenverordnung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4 Abs. 3 des Gesetzes zur Raumordnung und Landesplanung des Freistaates Sachsen (Landesplanungsgesetz – SächsLPlG ) vom 11. Juni 2010 (SächsGVBl. S. 174), das zuletzt durch Artikel 5 des Gesetzes vom 2. April 2014 (SächsGVBl. S. 234, 237) geändert worden ist, wird verordnet:</w:t>
      </w:r>
    </w:p>
    <w:p>
      <w:r>
        <w:rPr>
          <w:color w:val="555555"/>
          <w:sz w:val="17"/>
        </w:rPr>
        <w:t xml:space="preserve">Zitiervorschlag: Eingangsformel SächsPlanzVO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https://recht.nulegal.eu/gesetze/S%C3%A4chsPlanzVO/eingangsformel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