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SächsPlanzVO (Sachsen) — Ausnahmen</w:t>
      </w:r>
    </w:p>
    <w:p>
      <w:r>
        <w:rPr>
          <w:color w:val="555555"/>
          <w:sz w:val="18"/>
        </w:rPr>
        <w:t xml:space="preserve">Sächsische Planzeichenverordnung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Wenn es für die Lesbarkeit der Raumstruktur- und Raumnutzungskarten erforderlich ist, kann mit Zustimmung der obersten Raumordnungs- und Landesplanungsbehörde bei der Art der Flächenfüllung von den Vorgaben des § 1 Satz 1 abgewichen werden.</w:t>
      </w:r>
    </w:p>
    <w:p>
      <w:r>
        <w:rPr>
          <w:color w:val="555555"/>
          <w:sz w:val="17"/>
        </w:rPr>
        <w:t xml:space="preserve">Zitiervorschlag: § 2 SächsPlanzVO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https://recht.nulegal.eu/gesetze/S%C3%A4chsPlanzVO/2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SächsPlanzVO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