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SächsPflAFoG (Sachsen) — Berichtspflicht und Informationsaustausch</w:t>
      </w:r>
    </w:p>
    <w:p>
      <w:r>
        <w:rPr>
          <w:color w:val="555555"/>
          <w:sz w:val="18"/>
        </w:rPr>
        <w:t xml:space="preserve">Sächsisches Pflegeausbildungsfondsgesetz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Stelle berichtet jährlich zum 1. August der Aufsichtsbehörde über die Entwicklung und Zusammensetzung des Ausgleichsfonds für das laufende Ausbildungsjahr und teilt unverzüglich voraussichtliche Überschreitungen der Verwaltungskostenpauschale gemäß § 2 Absatz 1 nebst Begründung mit.</w:t>
      </w:r>
    </w:p>
    <w:p>
      <w:r>
        <w:rPr>
          <w:color w:val="555555"/>
          <w:sz w:val="17"/>
        </w:rPr>
        <w:t xml:space="preserve">Zitiervorschlag: § 5 SächsPflAFoG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https://recht.nulegal.eu/gesetze/S%C3%A4chsPflAFoG/5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