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SächsPflAFoG (Sachsen) — Pauschalbudgets</w:t>
      </w:r>
    </w:p>
    <w:p>
      <w:r>
        <w:rPr>
          <w:color w:val="555555"/>
          <w:sz w:val="18"/>
        </w:rPr>
        <w:t xml:space="preserve">Sächsisches Pflegeausbildungsfondsgesetz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strebt gemäß § 30 des Pflegeberufegesetzes in Verbindung mit § 3 Absatz 5 der Pflegeberufe-Ausbildungsfinanzierungsverordnung die Vereinbarung von Pauschalbudgets zu den Kosten der praktischen Ausbildung für deren Träger und zu den Ausbildungskosten der Pflegeschulen an.</w:t>
      </w:r>
    </w:p>
    <w:p>
      <w:r>
        <w:rPr>
          <w:color w:val="555555"/>
          <w:sz w:val="17"/>
        </w:rPr>
        <w:t xml:space="preserve">Zitiervorschlag: § 3 SächsPflAFoG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https://recht.nulegal.eu/gesetze/S%C3%A4chsPflAFoG/3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