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SächsPersVG (Sachsen) — Bekanntmachung der Neufassung des Sächsischen Personalvertretungsgesetzes</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Vom 29. August 2018</w:t>
      </w:r>
    </w:p>
    <w:p>
      <w:r>
        <w:t xml:space="preserve">(berichtigt vom 18. Mai 2021 [SächsGVBl. S. 658])</w:t>
      </w:r>
    </w:p>
    <w:p>
      <w:r>
        <w:t xml:space="preserve">Auf Grund des Artikels 10 Absatz 4 des Gesetzes zur Weiterentwicklung des Sächsischen Dienstrechts vom 28. Juni 2018 (SächsGVBl. S. 430) wird nachstehend der Wortlaut des Sächsischen Personalvertretungsgesetzes in der seit 1. Januar 2018 geltenden Fassung bekannt gemacht. Die Neufassung berücksichtigt:</w:t>
      </w:r>
    </w:p>
    <w:p>
      <w:r>
        <w:t xml:space="preserve">1. die Fassung der Bekanntmachung des Sächsischen Personalvertretungsgesetzes vom 25. Juni 1999 (SächsGVBl. S. 430),</w:t>
      </w:r>
    </w:p>
    <w:p>
      <w:r>
        <w:t xml:space="preserve">2. den am 10. April 2002 in Kraft getretenen Artikel 1 des Gesetzes vom 12. März 2002 (SächsGVBl. S. 107),</w:t>
      </w:r>
    </w:p>
    <w:p>
      <w:r>
        <w:t xml:space="preserve">3. den am 10. April 2002 in Kraft getretenen Artikel 2 des Gesetzes vom 12. März 2002 (SächsGVBl. S. 108, 110),</w:t>
      </w:r>
    </w:p>
    <w:p>
      <w:r>
        <w:t xml:space="preserve">4. den am 1. Januar 2003 in Kraft getretenen Artikel 5 des Gesetzes vom 11. Dezember 2002 (SächsGVBl. S. 312, 315),</w:t>
      </w:r>
    </w:p>
    <w:p>
      <w:r>
        <w:t xml:space="preserve">5. den am 23. Mai 2004 in Kraft getretenen Artikel 44 des Gesetzes vom 5. Mai 2004 (SächsGVBl. S. 148, 171),</w:t>
      </w:r>
    </w:p>
    <w:p>
      <w:r>
        <w:t xml:space="preserve">6. den am 1. Januar 2006 in Kraft getretenen Artikel 3 des Gesetzes vom 22. April 2005 (SächsGVBl. S. 121, 124),</w:t>
      </w:r>
    </w:p>
    <w:p>
      <w:r>
        <w:t xml:space="preserve">7. den am 1. August 2007 in Kraft getretenen Artikel 11 des Gesetzes vom 15. Dezember 2006 (SächsGVBl. S. 515, 521),</w:t>
      </w:r>
    </w:p>
    <w:p>
      <w:r>
        <w:t xml:space="preserve">8. den am 1. August 2008 in Kraft getretenen Artikel 3 des Gesetzes vom 29. Januar 2008 (SächsGVBl. S. 138, 144),</w:t>
      </w:r>
    </w:p>
    <w:p>
      <w:r>
        <w:t xml:space="preserve">9. den am 21. November 2010 in Kraft getretenen Artikel 1 des Gesetzes vom 4. November 2010 (SächsGVBl. S. 290),</w:t>
      </w:r>
    </w:p>
    <w:p>
      <w:r>
        <w:t xml:space="preserve">10. den teils am 1. März 2012, teils am 1. Januar 2013 in Kraft getretenen Artikel 10 des Gesetzes vom 27. Januar 201 2 (SächsGVBl. S. 130, 139),</w:t>
      </w:r>
    </w:p>
    <w:p>
      <w:r>
        <w:t xml:space="preserve">11. den am 1. April 2014 in Kraft getretenen Artikel 8 des Gesetzes vom 18. Dezember 2013 (SächsGVBl. S. 970, 1079),</w:t>
      </w:r>
    </w:p>
    <w:p>
      <w:r>
        <w:t xml:space="preserve">12. den am 1. Januar 2016 in Kraft getretenen Artikel 1 des Gesetzes vom 17. Dezember 2015 (SächsGVBl. S. 679, 684),</w:t>
      </w:r>
    </w:p>
    <w:p>
      <w:r>
        <w:t xml:space="preserve">13. den am 1. August 2017 in Kraft getretenen Artikel 2 des Gesetzes vom 9. Juni 2017 (SächsGVBl. S. 306, 320) und</w:t>
      </w:r>
    </w:p>
    <w:p>
      <w:r>
        <w:t xml:space="preserve">14. den am 1. Januar 2018 in Kraft getretenen Artikel 7 des eingangs genannten Gesetzes.</w:t>
      </w:r>
    </w:p>
    <w:p>
      <w:r>
        <w:t xml:space="preserve">Dresden, den 29. August 2018</w:t>
      </w:r>
    </w:p>
    <w:p>
      <w:r>
        <w:t xml:space="preserve">Der Staatsminister des Innern</w:t>
      </w:r>
    </w:p>
    <w:p>
      <w:r>
        <w:t xml:space="preserve">Prof. Dr. Roland Wöller</w:t>
      </w:r>
    </w:p>
    <w:p>
      <w:r>
        <w:rPr>
          <w:color w:val="555555"/>
          <w:sz w:val="17"/>
        </w:rPr>
        <w:t xml:space="preserve">Zitiervorschlag: Volltext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