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SächsPersVG (Sachsen) — Bildung von Fachkammern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nach diesem Gesetz zu treffenden Entscheidungen sind bei den Verwaltungsgerichten des ersten und zweiten Rechtszugs Fachkammern (Fachsenate) zu bilden. Das Staatsministerium der Justiz und für Demokratie, Europa und Gleichstellung kann im Einvernehmen mit dem Staatsministerium des Innern durch Rechtsverordnung die Zuständigkeit von Fachkammern auf die Bezirke anderer Verwaltungsgerichte erstrecken.</w:t>
      </w:r>
    </w:p>
    <w:p>
      <w:r>
        <w:t xml:space="preserve">(2) Die Fachkammer und der Fachsenat bestehen aus Richterinnen und Richtern, von denen eine Person den Vorsitz innehat, und ehrenamtlichen Richterinnen und Richtern. Die ehrenamtlichen Richterinnen und Richter müssen Beschäftigte im öffentlichen Dienst der in § 1 genannten Einrichtungen sein. Sie werden je zur Hälfte durch das Staatsministerium der Justiz und für Demokratie, Europa und Gleichstellung auf Vorschlag</w:t>
      </w:r>
    </w:p>
    <w:p>
      <w:r>
        <w:t xml:space="preserve">1. der unter den Beschäftigten vertretenen Gewerkschaften und</w:t>
      </w:r>
    </w:p>
    <w:p>
      <w:r>
        <w:t xml:space="preserve">2. der in § 1 bezeichneten Einrichtungen berufen.</w:t>
      </w:r>
    </w:p>
    <w:p>
      <w:r>
        <w:t xml:space="preserve">Für die Berufung und Stellung der ehrenamtlichen Richterinnen und Richter und ihre Heranziehung zu den Sitzungen gelten die Vorschriften des Arbeitsgerichtsgesetzes über ehrenamtliche Richterinnen und Richter entsprechend.</w:t>
      </w:r>
    </w:p>
    <w:p>
      <w:r>
        <w:t xml:space="preserve">(3) Die Fachkammern und der Fachsenat sind mit einer vorsitzenden Person, einer weiteren Richterin oder einem weiteren Richter und je einer ehrenamtlichen Richterin oder einem ehrenamtlichen Richter besetzt, die oder der nach Absatz 2 Satz 3 Nummer 1 und 2 berufen wurde. Bei Stimmengleichheit in der Entscheidung über eine Frage ist diese verneint.</w:t>
      </w:r>
    </w:p>
    <w:p>
      <w:r>
        <w:rPr>
          <w:color w:val="555555"/>
          <w:sz w:val="17"/>
        </w:rPr>
        <w:t xml:space="preserve">Zitiervorschlag: § 89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https://recht.nulegal.eu/gesetze/S%C3%A4chsPersVG/89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