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83 SächsPersVG (Sachsen) — Initiativrecht</w:t>
      </w:r>
    </w:p>
    <w:p>
      <w:r>
        <w:rPr>
          <w:color w:val="555555"/>
          <w:sz w:val="18"/>
        </w:rPr>
        <w:t xml:space="preserve">Sächsisches Personalvertretungsgesetz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Beantragt der Personalrat eine Maßnahme, die nach § 80 oder § 81 seiner Mitbestimmung unterliegt, hat er sie schriftlich oder elektronisch der Dienststellenleitung vorzuschlagen. Der Personalrat kann eine Erörterung verlangen, wenn sich die Dienststellenleitung nicht innerhalb einer Frist von 30 Arbeitstagen äußert. § 79 Absatz 2 Satz 5 gilt entsprechend. Entspricht die Dienststellenleitung dem Antrag nach Satz 1 nicht, bestimmt sich das weitere Verfahren nach § 79 Absatz 3 bis 6.</w:t>
      </w:r>
    </w:p>
    <w:p>
      <w:r>
        <w:rPr>
          <w:color w:val="555555"/>
          <w:sz w:val="17"/>
        </w:rPr>
        <w:t xml:space="preserve">Zitiervorschlag: § 83 SächsPersVG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https://recht.nulegal.eu/gesetze/S%C3%A4chsPersVG/83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