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SächsPersVG (Sachsen) — Aktives und passives Wahlrecht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Wahlberechtigt sind alle in § 58 genannten Beschäftigten. § 13 Absatz 1 gilt entsprechend.</w:t>
      </w:r>
    </w:p>
    <w:p>
      <w:r>
        <w:t xml:space="preserve">(2) Wählbar sind alle in § 58 genannten Beschäftigten und andere Beschäftigte, wenn sie das 27. Lebensjahr noch nicht vollendet haben. § 14 Absatz 1 Nummer 2, Absatz 2 und 4 gilt entsprechend.</w:t>
      </w:r>
    </w:p>
    <w:p>
      <w:r>
        <w:rPr>
          <w:color w:val="555555"/>
          <w:sz w:val="17"/>
        </w:rPr>
        <w:t xml:space="preserve">Zitiervorschlag: § 59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https://recht.nulegal.eu/gesetze/S%C3%A4chsPersVG/59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