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55 SächsPersVG (Sachsen) — Entsprechende Anwendung der Personalvertretungsvorschriften</w:t>
      </w:r>
    </w:p>
    <w:p>
      <w:r>
        <w:rPr>
          <w:color w:val="555555"/>
          <w:sz w:val="18"/>
        </w:rPr>
        <w:t xml:space="preserve">Sächsisches Personalvertretungsgesetz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Stufenvertretungen gelten die §§ 26 bis 31 und §§ 33 bis 40, § 41 Absatz 1, §§ 42, 43, 43a, 45, 46 Absatz 1 bis 3 und 5, §§ 47 und 48 entsprechend. § 32 findet mit der Maßgabe Anwendung, dass der Wahlvorstand nach § 54 Absatz 3 Satz 3 bestimmt wird.</w:t>
      </w:r>
    </w:p>
    <w:p>
      <w:r>
        <w:rPr>
          <w:color w:val="555555"/>
          <w:sz w:val="17"/>
        </w:rPr>
        <w:t xml:space="preserve">Zitiervorschlag: § 55 SächsPersVG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https://recht.nulegal.eu/gesetze/S%C3%A4chsPersVG/55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