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SächsPersVG (Sachsen) — Gruppen</w:t>
      </w:r>
    </w:p>
    <w:p>
      <w:r>
        <w:rPr>
          <w:color w:val="555555"/>
          <w:sz w:val="18"/>
        </w:rPr>
        <w:t xml:space="preserve">Sächsisches Personalvertretungsgesetz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Beamtinnen und Beamten sowie die Arbeitnehmerinnen und Arbeitnehmer bilden je eine Gruppe. Die in § 4 Absatz 1 bezeichneten Richterinnen und Richter sowie Staatsanwältinnen und Staatsanwälte treten zur Gruppe der Beamtinnen und Beamten.</w:t>
      </w:r>
    </w:p>
    <w:p>
      <w:r>
        <w:rPr>
          <w:color w:val="555555"/>
          <w:sz w:val="17"/>
        </w:rPr>
        <w:t xml:space="preserve">Zitiervorschlag: § 5 SächsPersVG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https://recht.nulegal.eu/gesetze/S%C3%A4chsPersVG/5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