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SächsPersVG (Sachsen) — Schutzvorschriften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Mitglieder des Personalrats dürfen gegen ihren Willen nur versetzt, umgesetzt, abgeordnet oder zugewiesen werden, wenn dies auch unter Berücksichtigung der Mitgliedschaft im Personalrat aus wichtigen dienstlichen Gründen unvermeidbar ist. Die Versetzung, Umsetzung, Abordnung oder Zuweisung von Mitgliedern des Personalrats bedarf der Zustimmung des Personalrats.</w:t>
      </w:r>
    </w:p>
    <w:p>
      <w:r>
        <w:t xml:space="preserve">(2) Absatz 1 gilt nicht bei der Versetzung, Umsetzung, Abordnung oder Zuweisung von Beamtinnen und Beamten im Vorbereitungsdienst sowie Beschäftigten in entsprechender Berufsausbildung im Anschluss an das Ausbildungsverhältnis. Die Mitgliedschaft der in Satz 1 bezeichneten Beschäftigten im Personalrat ruht unbeschadet § 29, solange sie entsprechend den Erfordernissen ihrer Ausbildung in eine andere Dienststelle versetzt oder abgeordnet sind.</w:t>
      </w:r>
    </w:p>
    <w:p>
      <w:r>
        <w:t xml:space="preserve">(3) Soweit nicht zwingende dienstliche Gründe entgegenstehen, darf ein Mitglied des Personalrats für die Dauer von zwei Jahren nach seinem Ausscheiden nur mit Aufgaben betraut werden, die mindestens seiner früher ausgeübten Funktion gleichwertig sind. Ihm soll auf Antrag in besonderer Weise die Gelegenheit gegeben werden, sich so fortzubilden, wie es in der Dienststelle, der Berufsgruppe oder der Laufbahn entsprechend möglich ist.</w:t>
      </w:r>
    </w:p>
    <w:p>
      <w:r>
        <w:rPr>
          <w:color w:val="555555"/>
          <w:sz w:val="17"/>
        </w:rPr>
        <w:t xml:space="preserve">Zitiervorschlag: § 48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