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SächsPersVG (Sachsen) — Freistellung vom Dienst</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Personalrats führen ihr Amt unentgeltlich als Ehrenamt.</w:t>
      </w:r>
    </w:p>
    <w:p>
      <w:r>
        <w:t xml:space="preserve">(2) Versäumnis von Arbeitszeit, die zur ordnungsgemäßen Durchführung der Aufgaben des Personalrats erforderlich ist, hat keine Minderung der Besoldung oder des Arbeitsentgelts zur Folge. Werden Personalratsmitglieder durch die Erfüllung ihrer Aufgaben über die regelmäßige Arbeitszeit hinaus beansprucht, ist ihnen Dienstbefreiung in entsprechendem Umfang zu gewähren.</w:t>
      </w:r>
    </w:p>
    <w:p>
      <w:r>
        <w:t xml:space="preserve">(3) Mitglieder des Personalrats sind von ihrer dienstlichen Tätigkeit ganz oder teilweise freizustellen, wenn und soweit es nach Umfang und Art der Aufgabenstellung zur ordnungsgemäßen Durchführung ihrer Aufgaben erforderlich ist. Bei der Auswahl der freizustellenden Mitglieder hat der Personalrat zunächst die nach § 33 Absatz 1 Satz 1 gewählten Vorstandsmitglieder, sodann die nach § 33 Absatz 1 Satz 2 gewählten Ergänzungsmitglieder und schließlich weitere Mitglieder zu berücksichtigen. Bei weiteren Freistellungen sind die auf die einzelnen Wahlvorschlagslisten entfallenden Stimmen im Wege des Höchstzahlverfahrens zu berücksichtigen, wenn die Wahl des Personalrats nach den Grundsätzen der Verhältniswahl (Listenwahl) (§ 19 Absatz 3 Satz 1) durchgeführt wurde; dabei sind die nach Satz 2 freigestellten Vorstandsmitglieder von den auf jede Wahlvorschlagsliste entfallenden Freistellungen abzuziehen. Im Falle der Mehrheitswahl (Personenwahl) (§ 19 Absatz 3 Satz 2) bestimmt sich die Rangfolge der weiteren freizustellenden Mitglieder nach der Zahl der für sie bei der Wahl zum Personalrat abgegebenen Stimmen. Sind die Mitglieder der im Personalrat vertretenen Gruppen teils nach den Grundsätzen der Verhältniswahl, teils der Mehrheitswahl gewählt worden, sind bei weiteren Freistellungen die Gruppen entsprechend der Zahl ihrer Mitglieder nach dem Höchstzahlverfahren zu berücksichtigen. Innerhalb der Gruppen bestimmen sich die weiteren Freistellungen in diesem Fall je nach Wahlverfahren in entsprechender Anwendung des Satzes 3 und nach Satz 4.</w:t>
      </w:r>
    </w:p>
    <w:p>
      <w:r>
        <w:t xml:space="preserve">(4) Von ihrer dienstlichen Tätigkeit sind nach Absatz 3 auf Beschluss des Personalrats ganz freizustellen in Dienststellen mit in der Regel</w:t>
      </w:r>
    </w:p>
    <w:p>
      <w:r>
        <w:t xml:space="preserve">200 bis 600 Wahlberechtigten ein Mitglied,</w:t>
      </w:r>
    </w:p>
    <w:p>
      <w:r>
        <w:t xml:space="preserve">601 bis 1 000 Wahlberechtigten zwei Mitglieder.</w:t>
      </w:r>
    </w:p>
    <w:p>
      <w:r>
        <w:t xml:space="preserve">In Dienststellen mit mehr als 1 000 Wahlberechtigten ist für je angefangene weitere 1 000 Wahlberechtigte ein weiteres Mitglied freizustellen. Im Rahmen der Sätze 1 und 2 sind auf Beschluss des Personalrats Teilfreistellungen, sofern dringende dienstliche Belange nicht entgegenstehen, zu gewähren. Von den Sätzen 1 und 2 kann im Einvernehmen zwischen Personalrat und Dienststellenleitung abgewichen werden.</w:t>
      </w:r>
    </w:p>
    <w:p>
      <w:r>
        <w:t xml:space="preserve">(5) Die Freistellung darf nicht zur Beeinträchtigung des beruflichen Werdeganges führen.</w:t>
      </w:r>
    </w:p>
    <w:p>
      <w:r>
        <w:rPr>
          <w:color w:val="555555"/>
          <w:sz w:val="17"/>
        </w:rPr>
        <w:t xml:space="preserve">Zitiervorschlag: § 46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