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SächsPersVG (Sachsen) — Kosten</w:t>
      </w:r>
    </w:p>
    <w:p>
      <w:r>
        <w:rPr>
          <w:color w:val="555555"/>
          <w:sz w:val="18"/>
        </w:rPr>
        <w:t xml:space="preserve">Sächsisches Personalvertretungsgesetz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durch die Tätigkeit des Personalrats entstehenden Kosten trägt die Dienststelle. Mitglieder des Personalrats erhalten bei Reisen, die zur Erfüllung ihrer Aufgaben notwendig sind, Reisekostenvergütungen nach § 1 Absatz 2 des Sächsischen Reisekostengesetzes vom 12. Dezember 2008 (SächsGVBl. S. 866, 876), das zuletzt durch Artikel 13 des Gesetzes vom 18. Dezember 2013 (SächsGVBl. S. 970) geändert worden ist, in der jeweils geltenden Fassung.</w:t>
      </w:r>
    </w:p>
    <w:p>
      <w:r>
        <w:t xml:space="preserve">(2) Für die Sitzungen, die Sprechstunden und die laufende Geschäftsführung hat die Dienststelle in erforderlichem Umfang Räume, die in der Dienststelle vorhandene und von der Dienststelle freigegebene Informations- und Kommunikationstechnik sowie den Geschäftsbedarf und Büropersonal zur Verfügung zu stellen.</w:t>
      </w:r>
    </w:p>
    <w:p>
      <w:r>
        <w:t xml:space="preserve">(3) Dem Personalrat werden in allen Dienststellen geeignete Plätze für Bekanntmachungen und Anschläge zur Verfügung gestellt. Der Personalrat kann schriftliche Mitteilungen an die Beschäftigten herausgeben. Für Informationen nach den Sätzen 1 und 2 kann der Personalrat vorhandene dienststelleninterne Informations- und Kommunikationstechnik nutzen.</w:t>
      </w:r>
    </w:p>
    <w:p>
      <w:r>
        <w:t xml:space="preserve">(4) Der Personalrat darf für seine Zwecke von den Beschäftigten keine Beiträge erheben und annehmen.</w:t>
      </w:r>
    </w:p>
    <w:p>
      <w:r>
        <w:rPr>
          <w:color w:val="555555"/>
          <w:sz w:val="17"/>
        </w:rPr>
        <w:t xml:space="preserve">Zitiervorschlag: § 45 SächsPersVG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https://recht.nulegal.eu/gesetze/S%C3%A4chsPersVG/45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