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SächsPersVG (Sachsen) — Aussetzung von Beschlüssen</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Erachtet die Mehrheit der Vertretung einer Gruppe, der Jugend- und Auszubildendenvertretung oder die Schwerbehindertenvertretung einen Beschluss des Personalrats als eine erhebliche Beeinträchtigung wichtiger Interessen der durch sie vertretenen Beschäftigten, ist auf ihren sofortigen Antrag der Beschluss auf die Dauer von sechs Arbeitstagen vom Zeitpunkt der Beschlussfassung an auszusetzen. In dieser Frist soll, gegebenenfalls mit Hilfe der unter den Mitgliedern des Personalrats oder der Jugend- und Auszubildendenvertretung oder der Schwerbehindertenvertretung vertretenen Gewerkschaften, eine Verständigung versucht werden. Die Aussetzung eines Beschlusses nach Satz 1 hat keine Verlängerung einer Frist zur Folge.</w:t>
      </w:r>
    </w:p>
    <w:p>
      <w:r>
        <w:t xml:space="preserve">(2) Nach Ablauf der Frist ist über die Angelegenheit neu zu beschließen. Wird der erste Beschluss bestätigt, kann der Antrag auf Aussetzung nicht wiederholt werden.</w:t>
      </w:r>
    </w:p>
    <w:p>
      <w:r>
        <w:rPr>
          <w:color w:val="555555"/>
          <w:sz w:val="17"/>
        </w:rPr>
        <w:t xml:space="preserve">Zitiervorschlag: § 40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https://recht.nulegal.eu/gesetze/S%C3%A4chsPersVG/40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