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SächsPersVG (Sachsen) — Ausschluss und Auflösung</w:t>
      </w:r>
    </w:p>
    <w:p>
      <w:r>
        <w:rPr>
          <w:color w:val="555555"/>
          <w:sz w:val="18"/>
        </w:rPr>
        <w:t xml:space="preserve">Sächsisches Personalvertretungsgesetz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Auf Antrag eines Viertels der Wahlberechtigten oder einer in der Dienststelle vertretenen Gewerkschaft kann das Verwaltungsgericht den Ausschluss eines Mitglieds aus dem Personalrat, die Auflösung der Gruppenvertretung oder die Auflösung des Personalrats wegen grober Vernachlässigung seiner gesetzlichen Befugnisse oder wegen grober Verletzung seiner gesetzlichen Pflichten beschließen. Der Personalrat kann aus den gleichen Gründen den Ausschluss eines Mitglieds beantragen. Die Dienststellenleitung kann den Ausschluss eines Mitglieds aus dem Personalrat oder die Auflösung des Personalrats wegen grober Verletzung seiner gesetzlichen Pflichten beantragen.</w:t>
      </w:r>
    </w:p>
    <w:p>
      <w:r>
        <w:t xml:space="preserve">(2) Ist der Personalrat oder eine Gruppenvertretung aufgelöst, setzt die vorsitzende Person der Fachkammer des Verwaltungsgerichts einen Wahlvorstand ein. Dieser hat unverzüglich eine Neuwahl einzuleiten. Bis zur Neuwahl nimmt der Wahlvorstand die dem Personalrat nach diesem Gesetz zustehenden Befugnisse und Pflichten wahr. § 20 gilt entsprechend.</w:t>
      </w:r>
    </w:p>
    <w:p>
      <w:r>
        <w:rPr>
          <w:color w:val="555555"/>
          <w:sz w:val="17"/>
        </w:rPr>
        <w:t xml:space="preserve">Zitiervorschlag: § 28 SächsPersVG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https://recht.nulegal.eu/gesetze/S%C3%A4chsPersVG/28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