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SächsPersVG (Sachsen) — Anfechtung der Wahl</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Mindestens drei Wahlberechtigte, jede in der Dienststelle vertretene Gewerkschaft oder die Dienststellenleitung können binnen einer Frist von zwölf Arbeitstagen, vom Tage der Bekanntgabe des Wahlergebnisses an gerechnet, die Wahl beim Verwaltungsgericht anfechten, wenn gegen wesentliche Vorschriften über das Wahlrecht, die Wählbarkeit oder das Wahlverfahren verstoßen worden und eine Berichtigung nicht erfolgt ist, es sei denn, dass durch den Verstoß das Wahlergebnis nicht geändert oder beeinflusst werden konnte.</w:t>
      </w:r>
    </w:p>
    <w:p>
      <w:r>
        <w:t xml:space="preserve">(2) Bis zur rechtskräftigen Entscheidung des Verwaltungsgerichts führt der Personalrat die Geschäfte weiter. Wird die Wahl für ungültig erklärt, bleiben die vorher gefassten Beschlüsse des Personalrats in Kraft.</w:t>
      </w:r>
    </w:p>
    <w:p>
      <w:r>
        <w:t xml:space="preserve">(3) Die Dienststellenleitung hat unmittelbar nach Rechtskraft der Entscheidung eine Personalversammlung zur Wahl eines Wahlvorstandes einzuberufen. Der Wahlvorstand hat in diesem Fall unverzüglich eine Neuwahl einzuleiten. Bis zur Neuwahl nimmt der Wahlvorstand die dem Personalrat nach diesem Gesetz zustehenden Rechte und Pflichten wahr. § 20 gilt entsprechend.</w:t>
      </w:r>
    </w:p>
    <w:p>
      <w:r>
        <w:t xml:space="preserve">(4) Wird die Wahl nur für eine Gruppe rechtskräftig angefochten, findet § 27 Absatz 4 entsprechende Anwendung. Der von der Dienststellenleitung unverzüglich zu bestellende Wahlvorstand nimmt die der Gruppe nach diesem Gesetz zustehenden Rechte und Pflichten im Personalrat bis zur Wiederholungswahl wahr. § 20 gilt entsprechend.</w:t>
      </w:r>
    </w:p>
    <w:p>
      <w:r>
        <w:rPr>
          <w:color w:val="555555"/>
          <w:sz w:val="17"/>
        </w:rPr>
        <w:t xml:space="preserve">Zitiervorschlag: § 25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https://recht.nulegal.eu/gesetze/S%C3%A4chsPersVG/25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