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SächsPersVG (Sachsen) — Schutz der Wahl – Kostenregelung</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Niemand darf die Wahl des Personalrats behindern und in einer gegen ein Gesetz oder in einer gegen die guten Sitten verstoßenden Weise beeinflussen, insbesondere keine Wahlberechtigte und keinen Wahlberechtigten in der Ausübung des aktiven und passiven Wahlrechts beschränken. § 48 Absatz 1 und § 73 Absatz 6 Satz 5 gelten für Mitglieder des Wahlvorstands sowie Wahlbewerberinnen und Wahlbewerber entsprechend.</w:t>
      </w:r>
    </w:p>
    <w:p>
      <w:r>
        <w:t xml:space="preserve">(2) Die Kosten der Wahl trägt die Dienststelle. Notwendige Versäumnisse von Arbeitszeit infolge der Ausübung des Wahlrechts, der Teilnahme an der in § 21 genannten Personalversammlung oder der Betätigung im Wahlvorstand haben keine Minderung der Besoldung oder des Arbeitsentgelts zur Folge. Für die Mitglieder des Wahlvorstands gelten § 45 Absatz 1 Satz 2, § 46 Absatz 2 Satz 2 und § 47 Absatz 1 entsprechend.</w:t>
      </w:r>
    </w:p>
    <w:p>
      <w:r>
        <w:rPr>
          <w:color w:val="555555"/>
          <w:sz w:val="17"/>
        </w:rPr>
        <w:t xml:space="preserve">Zitiervorschlag: § 24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