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SächsPersVG (Sachsen) — Wahleinleitung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Wahlvorstand hat die Wahl unverzüglich einzuleiten; sie soll spätestens nach acht Wochen stattfinden. Kommt der Wahlvorstand dieser Verpflichtung nicht nach, bestellt die Dienststellenleitung einen neuen Wahlvorstand.</w:t>
      </w:r>
    </w:p>
    <w:p>
      <w:r>
        <w:t xml:space="preserve">(2) Der Wahlvorstand kann im Einvernehmen mit der Dienststelle Wahlhelferinnen und Wahlhelfer zu seiner Unterstützung bestellen.</w:t>
      </w:r>
    </w:p>
    <w:p>
      <w:r>
        <w:rPr>
          <w:color w:val="555555"/>
          <w:sz w:val="17"/>
        </w:rPr>
        <w:t xml:space="preserve">Zitiervorschlag: § 23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https://recht.nulegal.eu/gesetze/S%C3%A4chsPersVG/23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