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SächsPersVG (Sachsen) — Abweichende Verteilung auf die Gruppen</w:t>
      </w:r>
    </w:p>
    <w:p>
      <w:r>
        <w:rPr>
          <w:color w:val="555555"/>
          <w:sz w:val="18"/>
        </w:rPr>
        <w:t xml:space="preserve">Sächsisches Personalvertretungsgesetz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Verteilung der Mitglieder des Personalrats auf die Gruppen kann abweichend von § 17 geordnet werden, wenn jede Gruppe dies vor der Neuwahl in getrennter geheimer Abstimmung beschließt.</w:t>
      </w:r>
    </w:p>
    <w:p>
      <w:r>
        <w:t xml:space="preserve">(2) Für jede Gruppe können auch Beschäftigte der anderen Gruppe vorgeschlagen werden. Die Gewählten gelten als Vertretung derjenigen Gruppe, für die sie vorgeschlagen worden sind. Dies gilt auch für Ersatzmitglieder.</w:t>
      </w:r>
    </w:p>
    <w:p>
      <w:r>
        <w:rPr>
          <w:color w:val="555555"/>
          <w:sz w:val="17"/>
        </w:rPr>
        <w:t xml:space="preserve">Zitiervorschlag: § 18 SächsPersVG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https://recht.nulegal.eu/gesetze/S%C3%A4chsPersVG/18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