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SächsPersVG (Sachsen) — Wählbarkeit in besonderen Fällen</w:t>
      </w:r>
    </w:p>
    <w:p>
      <w:r>
        <w:rPr>
          <w:color w:val="555555"/>
          <w:sz w:val="18"/>
        </w:rPr>
        <w:t xml:space="preserve">Sächsisches Personalvertretungsgesetz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Besteht die oberste Dienstbehörde oder die Dienststelle weniger als ein Jahr oder werden Dienststellen neu gegliedert, bedarf es für die Wählbarkeit nicht der Voraussetzung des § 14 Absatz 1 Nummer 2.</w:t>
      </w:r>
    </w:p>
    <w:p>
      <w:r>
        <w:t xml:space="preserve">(2) Die Voraussetzung des § 14 Absatz 1 Nummer 3 entfällt, wenn in einer der Gruppen weniger Wahlberechtigte als das Fünffache der nach den § 16 und § 17 maßgeblichen Personalratsmitglieder und Gruppenvertreter vorhanden sind.</w:t>
      </w:r>
    </w:p>
    <w:p>
      <w:r>
        <w:rPr>
          <w:color w:val="555555"/>
          <w:sz w:val="17"/>
        </w:rPr>
        <w:t xml:space="preserve">Zitiervorschlag: § 15 SächsPersVG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https://recht.nulegal.eu/gesetze/S%C3%A4chsPersVG/15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