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SächsPersAnG (Sachsen)</w:t>
      </w:r>
    </w:p>
    <w:p>
      <w:r>
        <w:rPr>
          <w:color w:val="555555"/>
          <w:sz w:val="18"/>
        </w:rPr>
        <w:t xml:space="preserve">Sächsisches Personalanalysegesetz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5 des Gesetzes zur Änderung beamten-, besoldungs- und versorgungsrechtlicher Vorschriften zur Umsetzung der Verbeamtung von Lehrkräften im Freistaat Sachsen</w:t>
      </w:r>
    </w:p>
    <w:p>
      <w:r>
        <w:t xml:space="preserve">Vom 11. Dezember 2018</w:t>
      </w:r>
    </w:p>
    <w:p>
      <w:r>
        <w:rPr>
          <w:color w:val="555555"/>
          <w:sz w:val="17"/>
        </w:rPr>
        <w:t xml:space="preserve">Zitiervorschlag: Eingangsformel SächsPersAnG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https://recht.nulegal.eu/gesetze/S%C3%A4chsPersAnG/eingangsformel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