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SächsPersAnG (Sachsen) — Zweck der Datenverarbeitung</w:t>
      </w:r>
    </w:p>
    <w:p>
      <w:r>
        <w:rPr>
          <w:color w:val="555555"/>
          <w:sz w:val="18"/>
        </w:rPr>
        <w:t xml:space="preserve">Sächsisches Personalanalysegesetz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Bereitstellung und Verarbeitung der Daten dient den Zwecken des ressortübergreifenden strategischen Personalmanagements, insbesondere zur Personalstruktur- und Personalbedarfsanalyse.</w:t>
      </w:r>
    </w:p>
    <w:p>
      <w:r>
        <w:rPr>
          <w:color w:val="555555"/>
          <w:sz w:val="17"/>
        </w:rPr>
        <w:t xml:space="preserve">Zitiervorschlag: § 1 SächsPersAnG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https://recht.nulegal.eu/gesetze/S%C3%A4chsPersAnG/1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SächsPersAnG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