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SächsPauschVO (Sachsen) — Auszahlung</w:t>
      </w:r>
    </w:p>
    <w:p>
      <w:r>
        <w:rPr>
          <w:color w:val="555555"/>
          <w:sz w:val="18"/>
        </w:rPr>
        <w:t xml:space="preserve">Sächsische Pauschalförderungsverordnung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Sächsische Staatsministerium für Soziales und Gesellschaftlichen Zusammenhalt veröffentlicht den Zeitpunkt der Auszahlung der Jahrespauschalen an die Krankenhäuser jährlich im Sächsischen Amtsblatt. Die Auszahlung kann in Raten erfolgen.</w:t>
      </w:r>
    </w:p>
    <w:p>
      <w:r>
        <w:t xml:space="preserve">(2) Auszahlungen sollen nur erfolgen, wenn der zuständigen Behörde ein aktueller Verwendungsnachweis zu dem jeweiligen Krankenhaus vorliegt.</w:t>
      </w:r>
    </w:p>
    <w:p>
      <w:r>
        <w:rPr>
          <w:color w:val="555555"/>
          <w:sz w:val="17"/>
        </w:rPr>
        <w:t xml:space="preserve">Zitiervorschlag: § 11 SächsPauschVO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https://recht.nulegal.eu/gesetze/S%C3%A4chsPauschVO/11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SächsPauschVO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