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SächsPatMobG (Sachsen)</w:t>
      </w:r>
    </w:p>
    <w:p>
      <w:r>
        <w:rPr>
          <w:color w:val="555555"/>
          <w:sz w:val="18"/>
        </w:rPr>
        <w:t xml:space="preserve">Sächsisches Patientenmobilitätsgesetz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2. April 2014</w:t>
      </w:r>
    </w:p>
    <w:p>
      <w:r>
        <w:rPr>
          <w:color w:val="555555"/>
          <w:sz w:val="17"/>
        </w:rPr>
        <w:t xml:space="preserve">Zitiervorschlag: Eingangsformel SächsPatMobG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https://recht.nulegal.eu/gesetze/S%C3%A4chsPatMobG/eingangsformel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