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SächsPatMobG (Sachsen) — Informationsübermittlung</w:t>
      </w:r>
    </w:p>
    <w:p>
      <w:r>
        <w:rPr>
          <w:color w:val="555555"/>
          <w:sz w:val="18"/>
        </w:rPr>
        <w:t xml:space="preserve">Sächsisches Patientenmobilitätsgesetz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Erfüllung der der nationalen Kontaktstelle gemäß Artikel 6 Abs. 3 der Richtlinie 2011/24/EU obliegenden Informationspflichten über Gesundheitsdienstleister stellen Gesundheitsdienstleister die dafür erforderlichen Informationen den in § 219d Abs. 1 Satz 3 des Fünften Buches Sozialgesetzbuch ( SGB V ) – Gesetzliche Krankenversicherung – (Artikel 1 des Gesetzes vom 20. Dezember 1988, BGBl. I S. 2477, 2482), das zuletzt durch Artikel 1 des Gesetzes vom 22. Dezember 2013 (BGBl. I S. 4382) geändert worden ist, in der jeweils geltenden Fassung, genannten Organisationen auf Anfrage zur Verfügung. Das gilt nicht, soweit die nationale Kontaktstelle im Sinne von § 219d SGB V diese Informationen bereits anderweitig erhalten hat.</w:t>
      </w:r>
    </w:p>
    <w:p>
      <w:r>
        <w:t xml:space="preserve">(2) Die für die Aufsicht und Überwachung der Berufsausübungsberechtigung von Angehörigen der Gesundheitsberufe zuständigen Behörden beantworten Anfragen gemäß Artikel 10 Abs. 4 Satz 1 der Richtlinie 2011/24/EU.</w:t>
      </w:r>
    </w:p>
    <w:p>
      <w:r>
        <w:rPr>
          <w:color w:val="555555"/>
          <w:sz w:val="17"/>
        </w:rPr>
        <w:t xml:space="preserve">Zitiervorschlag: § 5 SächsPatMobG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https://recht.nulegal.eu/gesetze/S%C3%A4chsPatMobG/5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