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SächsPatMobG (Sachsen) — Gegenstand und Anwendungsbereich</w:t>
      </w:r>
    </w:p>
    <w:p>
      <w:r>
        <w:rPr>
          <w:color w:val="555555"/>
          <w:sz w:val="18"/>
        </w:rPr>
        <w:t xml:space="preserve">Sächsisches Patientenmobilitätsgesetz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dient der Erleichterung des Zugangs zu einer sicheren und hochwertigen grenzüberschreitenden Gesundheitsversorgung. Mit diesem Gesetz wird die Richtlinie 2011/24/EU des Europäischen Parlaments und des Rates vom 9. März 2011 über die Ausübung der Patientenrechte in der grenzüberschreitenden Gesundheitsversorgung (ABl. L 88 vom 4.4.2011, S. 45) in Landesrecht umgesetzt.</w:t>
      </w:r>
    </w:p>
    <w:p>
      <w:r>
        <w:t xml:space="preserve">(2) Dieses Gesetz gilt für jegliche Gesundheitsversorgung, für die sich Patienten vorab entscheiden, unabhängig davon, wie diese organisiert, erbracht oder finanziert wird.</w:t>
      </w:r>
    </w:p>
    <w:p>
      <w:r>
        <w:t xml:space="preserve">(3) Dieses Gesetz gilt nicht für</w:t>
      </w:r>
    </w:p>
    <w:p>
      <w:r>
        <w:t xml:space="preserve">1. Dienstleistungen im Bereich der Langzeitpflege, deren Ziel darin besteht, Personen zu unterstützen, die auf Hilfe bei routinemäßigen, alltäglichen Verrichtungen angewiesen sind,</w:t>
      </w:r>
    </w:p>
    <w:p>
      <w:r>
        <w:t xml:space="preserve">2. die Zuteilung von und den Zugang zu Organen zum Zweck der Organtransplantation und</w:t>
      </w:r>
    </w:p>
    <w:p>
      <w:r>
        <w:t xml:space="preserve">3. öffentliche Impfprogramme gegen Infektionskrankheiten, die ausschließlich dem Gesundheitsschutz der Bevölkerung im Hoheitsgebiet eines Mitgliedstaates dienen und die mit gezielten Planungs- und Durchführungsmaßnahmen verbunden sind. Kapitel IV der Richtlinie 2011/24/EU bleibt hiervon unberührt.</w:t>
      </w:r>
    </w:p>
    <w:p>
      <w:r>
        <w:rPr>
          <w:color w:val="555555"/>
          <w:sz w:val="17"/>
        </w:rPr>
        <w:t xml:space="preserve">Zitiervorschlag: § 1 SächsPatMobG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https://recht.nulegal.eu/gesetze/S%C3%A4chsPatMobG/1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SächsPatMobG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