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46 SächsPVDG (Sachsen) — Besondere Waffen</w:t>
      </w:r>
    </w:p>
    <w:p>
      <w:r>
        <w:rPr>
          <w:color w:val="555555"/>
          <w:sz w:val="18"/>
        </w:rPr>
        <w:t xml:space="preserve">Sächsisches Polizeivollzugsdienstgesetz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Besondere Waffen dürfen gegen Personen nur in den Fällen des § 44 Absatz 1 Nummer 1, 2 und 5 und nur nach Freigabe der Landespolizeipräsidentin, des Landespolizeipräsidenten oder der Person, die sie oder ihn im Amt vertritt, gebraucht werden, wenn</w:t>
      </w:r>
    </w:p>
    <w:p>
      <w:r>
        <w:t xml:space="preserve">1. der Einsatz dieser Waffen erforderlich ist, um eine von den Personen ausgehende Gefahr für das Leben der eingesetzten Polizeibediensteten oder unbeteiligter Dritter abzuwehren oder</w:t>
      </w:r>
    </w:p>
    <w:p>
      <w:r>
        <w:t xml:space="preserve">2. diese Personen von Schusswaffen oder Explosivmitteln Gebrauch gemacht haben und der vorherige Gebrauch anderer Schusswaffen erfolglos geblieben ist oder ungeeignet erscheint.</w:t>
      </w:r>
    </w:p>
    <w:p>
      <w:r>
        <w:t xml:space="preserve">(2) Besondere Waffen dürfen nur gebraucht werden, um einen Angriff abzuwehren. Sie dürfen gegen Personen in einer Menschenmenge nicht angewendet werden.</w:t>
      </w:r>
    </w:p>
    <w:p>
      <w:r>
        <w:t xml:space="preserve">(3) Die Vorschriften über Schusswaffen gelten auch für Maschinengewehre direkt und für Handgranaten entsprechend.</w:t>
      </w:r>
    </w:p>
    <w:p>
      <w:r>
        <w:rPr>
          <w:color w:val="555555"/>
          <w:sz w:val="17"/>
        </w:rPr>
        <w:t xml:space="preserve">Zitiervorschlag: § 46 SächsPVDG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https://recht.nulegal.eu/gesetze/S%C3%A4chsPVDG/46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46 SächsPVDG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