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SächsPVDG (Sachsen) — Allgemeines</w:t>
      </w:r>
    </w:p>
    <w:p>
      <w:r>
        <w:rPr>
          <w:color w:val="555555"/>
          <w:sz w:val="18"/>
        </w:rPr>
        <w:t xml:space="preserve">Sächsisches Polizeivollzugsdienstgesetz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Polizei wendet unmittelbaren Zwang nach den Vorschriften dieses Gesetzes und die Zwangsmittel Zwangsgeld, Zwangshaft sowie Ersatzvornahme nach den Vorschriften des Verwaltungsvollstreckungsgesetzes für den Freistaat Sachsen an.</w:t>
      </w:r>
    </w:p>
    <w:p>
      <w:r>
        <w:t xml:space="preserve">(2) Für die Anwendung unmittelbaren Zwangs zur Vollstreckung von Verwaltungsakten gelten im Übrigen die Vorschriften des Verwaltungsvollstreckungsgesetzes für den Freistaat Sachsen .</w:t>
      </w:r>
    </w:p>
    <w:p>
      <w:r>
        <w:t xml:space="preserve">(3) Gesetzliche Notwehr- und Notstandsrechte bleiben unberührt.</w:t>
      </w:r>
    </w:p>
    <w:p>
      <w:r>
        <w:rPr>
          <w:color w:val="555555"/>
          <w:sz w:val="17"/>
        </w:rPr>
        <w:t xml:space="preserve">Zitiervorschlag: § 39 SächsPVDG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https://recht.nulegal.eu/gesetze/S%C3%A4chsPVDG/39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